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C15C1" w14:textId="77777777" w:rsidR="00897E74" w:rsidRPr="00BA356E" w:rsidRDefault="00000000" w:rsidP="00B300D1">
      <w:pPr>
        <w:jc w:val="center"/>
        <w:rPr>
          <w:rFonts w:ascii="Arial" w:hAnsi="Arial" w:cs="Arial"/>
          <w:b/>
          <w:bCs/>
        </w:rPr>
      </w:pPr>
      <w:r w:rsidRPr="00BA356E">
        <w:rPr>
          <w:rFonts w:ascii="Arial" w:hAnsi="Arial" w:cs="Arial"/>
          <w:b/>
          <w:bCs/>
          <w:lang w:val="en"/>
        </w:rPr>
        <w:t>Food Security: An ASEAN's Priority</w:t>
      </w:r>
    </w:p>
    <w:p w14:paraId="53DB3AAB" w14:textId="77777777" w:rsidR="00911F0E" w:rsidRPr="00BA356E" w:rsidRDefault="00000000" w:rsidP="00B300D1">
      <w:pPr>
        <w:jc w:val="both"/>
        <w:rPr>
          <w:rFonts w:ascii="Arial" w:hAnsi="Arial" w:cs="Arial"/>
        </w:rPr>
      </w:pPr>
      <w:r w:rsidRPr="00BA356E">
        <w:rPr>
          <w:rFonts w:ascii="Arial" w:hAnsi="Arial" w:cs="Arial"/>
          <w:noProof/>
        </w:rPr>
        <w:drawing>
          <wp:inline distT="0" distB="0" distL="0" distR="0" wp14:anchorId="199CD89A" wp14:editId="312E56CD">
            <wp:extent cx="5731510" cy="3818890"/>
            <wp:effectExtent l="0" t="0" r="2540" b="0"/>
            <wp:docPr id="1033850563" name="Picture 1" descr="A picture containing flower arranging, floristry, funeral,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05" name="Picture 1" descr="A picture containing flower arranging, floristry, funeral, ta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3818890"/>
                    </a:xfrm>
                    <a:prstGeom prst="rect">
                      <a:avLst/>
                    </a:prstGeom>
                  </pic:spPr>
                </pic:pic>
              </a:graphicData>
            </a:graphic>
          </wp:inline>
        </w:drawing>
      </w:r>
    </w:p>
    <w:p w14:paraId="1C669CBF" w14:textId="77777777" w:rsidR="00911F0E" w:rsidRPr="00BA356E" w:rsidRDefault="00000000" w:rsidP="00B300D1">
      <w:pPr>
        <w:jc w:val="both"/>
        <w:rPr>
          <w:rFonts w:ascii="Arial" w:hAnsi="Arial" w:cs="Arial"/>
        </w:rPr>
      </w:pPr>
      <w:r w:rsidRPr="00BA356E">
        <w:rPr>
          <w:rFonts w:ascii="Arial" w:hAnsi="Arial" w:cs="Arial"/>
          <w:lang w:val="en"/>
        </w:rPr>
        <w:t xml:space="preserve">Indonesian President Joko Widodo opens the 42nd ASEAN Summit at Meruorah Hotel, Labuan Bajo, West Manggarai, East Nusa Tenggara. </w:t>
      </w:r>
      <w:r w:rsidR="001448C0" w:rsidRPr="00BA356E">
        <w:rPr>
          <w:rFonts w:ascii="Arial" w:hAnsi="Arial" w:cs="Arial"/>
          <w:lang w:val="en"/>
        </w:rPr>
        <w:t>(ASEAN 2023 Gallery/Kominfo)</w:t>
      </w:r>
    </w:p>
    <w:p w14:paraId="27981112" w14:textId="77777777" w:rsidR="00911F0E" w:rsidRPr="00BA356E" w:rsidRDefault="00911F0E" w:rsidP="00BC3191">
      <w:pPr>
        <w:jc w:val="both"/>
        <w:rPr>
          <w:rFonts w:ascii="Arial" w:hAnsi="Arial" w:cs="Arial"/>
        </w:rPr>
      </w:pPr>
    </w:p>
    <w:p w14:paraId="0FD3B689" w14:textId="255D61CC" w:rsidR="00BC3191" w:rsidRPr="00BA356E" w:rsidRDefault="00000000" w:rsidP="00BC3191">
      <w:pPr>
        <w:pStyle w:val="NormalWeb"/>
        <w:shd w:val="clear" w:color="auto" w:fill="FFFFFF"/>
        <w:spacing w:before="0" w:beforeAutospacing="0"/>
        <w:jc w:val="both"/>
        <w:rPr>
          <w:rFonts w:ascii="Arial" w:hAnsi="Arial" w:cs="Arial"/>
          <w:color w:val="111111"/>
          <w:sz w:val="22"/>
          <w:szCs w:val="22"/>
          <w:lang w:val="it-IT"/>
        </w:rPr>
      </w:pPr>
      <w:r w:rsidRPr="00BA356E">
        <w:rPr>
          <w:rFonts w:ascii="Arial" w:hAnsi="Arial" w:cs="Arial"/>
          <w:color w:val="14142B"/>
          <w:sz w:val="22"/>
          <w:szCs w:val="22"/>
          <w:shd w:val="clear" w:color="auto" w:fill="FFFFFF"/>
          <w:lang w:val="en"/>
        </w:rPr>
        <w:t xml:space="preserve">Most </w:t>
      </w:r>
      <w:r w:rsidR="00387443" w:rsidRPr="00BA356E">
        <w:rPr>
          <w:rFonts w:ascii="Arial" w:hAnsi="Arial" w:cs="Arial"/>
          <w:color w:val="111111"/>
          <w:sz w:val="22"/>
          <w:szCs w:val="22"/>
          <w:lang w:val="en"/>
        </w:rPr>
        <w:t>Association of Southeast Asian Nations (</w:t>
      </w:r>
      <w:r w:rsidRPr="00BA356E">
        <w:rPr>
          <w:rFonts w:ascii="Arial" w:hAnsi="Arial" w:cs="Arial"/>
          <w:color w:val="14142B"/>
          <w:sz w:val="22"/>
          <w:szCs w:val="22"/>
          <w:shd w:val="clear" w:color="auto" w:fill="FFFFFF"/>
          <w:lang w:val="en"/>
        </w:rPr>
        <w:t xml:space="preserve">ASEAN) member countries have sizeable agricultural land and are the world's food source. </w:t>
      </w:r>
      <w:r w:rsidR="00BA356E" w:rsidRPr="00BA356E">
        <w:rPr>
          <w:rFonts w:ascii="Arial" w:hAnsi="Arial" w:cs="Arial"/>
          <w:color w:val="14142B"/>
          <w:sz w:val="22"/>
          <w:szCs w:val="22"/>
          <w:shd w:val="clear" w:color="auto" w:fill="FFFFFF"/>
          <w:lang w:val="en"/>
        </w:rPr>
        <w:t>However, Singapore ranked top in</w:t>
      </w:r>
      <w:r w:rsidRPr="00BA356E">
        <w:rPr>
          <w:rFonts w:ascii="Arial" w:hAnsi="Arial" w:cs="Arial"/>
          <w:color w:val="14142B"/>
          <w:sz w:val="22"/>
          <w:szCs w:val="22"/>
          <w:shd w:val="clear" w:color="auto" w:fill="FFFFFF"/>
          <w:lang w:val="en"/>
        </w:rPr>
        <w:t xml:space="preserve"> food security in Southeast Asia according to </w:t>
      </w:r>
      <w:r w:rsidRPr="00BA356E">
        <w:rPr>
          <w:rFonts w:ascii="Arial" w:hAnsi="Arial" w:cs="Arial"/>
          <w:color w:val="111111"/>
          <w:sz w:val="22"/>
          <w:szCs w:val="22"/>
          <w:lang w:val="en"/>
        </w:rPr>
        <w:t>the 2022 GFSI Food Security Index. The assessment used four measurement indicators</w:t>
      </w:r>
      <w:r w:rsidR="00BA356E" w:rsidRPr="00BA356E">
        <w:rPr>
          <w:rFonts w:ascii="Arial" w:hAnsi="Arial" w:cs="Arial"/>
          <w:color w:val="111111"/>
          <w:sz w:val="22"/>
          <w:szCs w:val="22"/>
          <w:lang w:val="en"/>
        </w:rPr>
        <w:t>: affordability</w:t>
      </w:r>
      <w:r w:rsidRPr="00BA356E">
        <w:rPr>
          <w:rFonts w:ascii="Arial" w:hAnsi="Arial" w:cs="Arial"/>
          <w:color w:val="14142B"/>
          <w:sz w:val="22"/>
          <w:szCs w:val="22"/>
          <w:shd w:val="clear" w:color="auto" w:fill="FFFFFF"/>
          <w:lang w:val="en"/>
        </w:rPr>
        <w:t xml:space="preserve"> </w:t>
      </w:r>
      <w:r w:rsidRPr="00BA356E">
        <w:rPr>
          <w:rFonts w:ascii="Arial" w:hAnsi="Arial" w:cs="Arial"/>
          <w:color w:val="111111"/>
          <w:sz w:val="22"/>
          <w:szCs w:val="22"/>
          <w:lang w:val="en"/>
        </w:rPr>
        <w:t xml:space="preserve">of food prices, supply </w:t>
      </w:r>
      <w:r w:rsidRPr="00BA356E">
        <w:rPr>
          <w:rStyle w:val="Emphasis"/>
          <w:rFonts w:ascii="Arial" w:hAnsi="Arial" w:cs="Arial"/>
          <w:i w:val="0"/>
          <w:iCs w:val="0"/>
          <w:color w:val="111111"/>
          <w:sz w:val="22"/>
          <w:szCs w:val="22"/>
          <w:lang w:val="en"/>
        </w:rPr>
        <w:t>availability</w:t>
      </w:r>
      <w:r w:rsidRPr="00BA356E">
        <w:rPr>
          <w:rFonts w:ascii="Arial" w:hAnsi="Arial" w:cs="Arial"/>
          <w:color w:val="111111"/>
          <w:sz w:val="22"/>
          <w:szCs w:val="22"/>
          <w:lang w:val="en"/>
        </w:rPr>
        <w:t xml:space="preserve">, nutritional </w:t>
      </w:r>
      <w:r w:rsidRPr="00BA356E">
        <w:rPr>
          <w:rStyle w:val="Emphasis"/>
          <w:rFonts w:ascii="Arial" w:hAnsi="Arial" w:cs="Arial"/>
          <w:i w:val="0"/>
          <w:iCs w:val="0"/>
          <w:color w:val="111111"/>
          <w:sz w:val="22"/>
          <w:szCs w:val="22"/>
          <w:lang w:val="en"/>
        </w:rPr>
        <w:t>quality and safety,</w:t>
      </w:r>
      <w:r w:rsidRPr="00BA356E">
        <w:rPr>
          <w:rFonts w:ascii="Arial" w:hAnsi="Arial" w:cs="Arial"/>
          <w:color w:val="111111"/>
          <w:sz w:val="22"/>
          <w:szCs w:val="22"/>
          <w:lang w:val="en"/>
        </w:rPr>
        <w:t xml:space="preserve"> and </w:t>
      </w:r>
      <w:r w:rsidRPr="00BA356E">
        <w:rPr>
          <w:rStyle w:val="Emphasis"/>
          <w:rFonts w:ascii="Arial" w:hAnsi="Arial" w:cs="Arial"/>
          <w:i w:val="0"/>
          <w:iCs w:val="0"/>
          <w:color w:val="111111"/>
          <w:sz w:val="22"/>
          <w:szCs w:val="22"/>
          <w:lang w:val="en"/>
        </w:rPr>
        <w:t>sustainability and adaptation</w:t>
      </w:r>
      <w:r w:rsidRPr="00BA356E">
        <w:rPr>
          <w:rFonts w:ascii="Arial" w:hAnsi="Arial" w:cs="Arial"/>
          <w:color w:val="111111"/>
          <w:sz w:val="22"/>
          <w:szCs w:val="22"/>
          <w:lang w:val="en"/>
        </w:rPr>
        <w:t>.</w:t>
      </w:r>
    </w:p>
    <w:p w14:paraId="480E54D3" w14:textId="77777777" w:rsidR="00A50687" w:rsidRPr="00BA356E" w:rsidRDefault="00000000" w:rsidP="00A50687">
      <w:pPr>
        <w:pStyle w:val="NormalWeb"/>
        <w:shd w:val="clear" w:color="auto" w:fill="FFFFFF"/>
        <w:jc w:val="both"/>
        <w:rPr>
          <w:rFonts w:ascii="Arial" w:hAnsi="Arial" w:cs="Arial"/>
          <w:color w:val="111111"/>
          <w:sz w:val="22"/>
          <w:szCs w:val="22"/>
          <w:lang w:val="it-IT"/>
        </w:rPr>
      </w:pPr>
      <w:r w:rsidRPr="00BA356E">
        <w:rPr>
          <w:rFonts w:ascii="Arial" w:hAnsi="Arial" w:cs="Arial"/>
          <w:color w:val="111111"/>
          <w:sz w:val="22"/>
          <w:szCs w:val="22"/>
          <w:lang w:val="en"/>
        </w:rPr>
        <w:t>Global Food Security Index showed that Indonesia's food security was still below Singapore's in 2021. Indonesia's Food Security Index score was 59.2, while Singapore's was 77.4, the highest in Southeast Asia. In 2022, Indonesia's Food Security Index improved to 60.2, an increase of 1.7 percent compared to 2021. However, Indonesia's food security in 2022 was still lower than the global's at 62.2 and below the Asia-Pacific's at 63.4. Indonesia ranked 63rd out of 113 countries.</w:t>
      </w:r>
    </w:p>
    <w:p w14:paraId="68D8FF30" w14:textId="77777777" w:rsidR="00BC3191" w:rsidRPr="00BA356E" w:rsidRDefault="00000000" w:rsidP="00BC3191">
      <w:pPr>
        <w:pStyle w:val="NormalWeb"/>
        <w:shd w:val="clear" w:color="auto" w:fill="FFFFFF"/>
        <w:spacing w:before="0" w:beforeAutospacing="0"/>
        <w:jc w:val="both"/>
        <w:rPr>
          <w:rFonts w:ascii="Arial" w:hAnsi="Arial" w:cs="Arial"/>
          <w:color w:val="111111"/>
          <w:sz w:val="22"/>
          <w:szCs w:val="22"/>
          <w:lang w:val="it-IT"/>
        </w:rPr>
      </w:pPr>
      <w:r w:rsidRPr="00BA356E">
        <w:rPr>
          <w:rFonts w:ascii="Arial" w:hAnsi="Arial" w:cs="Arial"/>
          <w:color w:val="111111"/>
          <w:sz w:val="22"/>
          <w:szCs w:val="22"/>
          <w:lang w:val="en"/>
        </w:rPr>
        <w:t xml:space="preserve">Indonesia's food security was quite strong compared to neighboring countries. Indonesia's food security ranked 4th in the ASEAN. ASEAN countries with the best food security are Singapore, Malaysia, and Vietnam. </w:t>
      </w:r>
    </w:p>
    <w:p w14:paraId="67C2BACA" w14:textId="77777777" w:rsidR="00BC3191" w:rsidRPr="00BA356E" w:rsidRDefault="00000000" w:rsidP="00BC3191">
      <w:pPr>
        <w:pStyle w:val="NormalWeb"/>
        <w:shd w:val="clear" w:color="auto" w:fill="FFFFFF"/>
        <w:spacing w:before="0" w:beforeAutospacing="0"/>
        <w:jc w:val="both"/>
        <w:rPr>
          <w:rFonts w:ascii="Arial" w:hAnsi="Arial" w:cs="Arial"/>
          <w:color w:val="111111"/>
          <w:sz w:val="22"/>
          <w:szCs w:val="22"/>
        </w:rPr>
      </w:pPr>
      <w:r w:rsidRPr="00BA356E">
        <w:rPr>
          <w:rFonts w:ascii="Arial" w:hAnsi="Arial" w:cs="Arial"/>
          <w:color w:val="111111"/>
          <w:sz w:val="22"/>
          <w:szCs w:val="22"/>
          <w:lang w:val="en"/>
        </w:rPr>
        <w:t>GFSI assessed climate change policy and environmental and disaster management of a country's impact on food supply security. This is experienced by almost all ASEAN countries which strive to build an effective food system to survive amid rising food demand, limited land, and a warming climate.</w:t>
      </w:r>
    </w:p>
    <w:p w14:paraId="3484B5DE" w14:textId="77777777" w:rsidR="00F9473A" w:rsidRPr="00BA356E" w:rsidRDefault="00000000" w:rsidP="00E14D91">
      <w:pPr>
        <w:jc w:val="both"/>
        <w:rPr>
          <w:rFonts w:ascii="Arial" w:hAnsi="Arial" w:cs="Arial"/>
          <w:b/>
          <w:bCs/>
          <w:lang w:val="it-IT"/>
        </w:rPr>
      </w:pPr>
      <w:r w:rsidRPr="00BA356E">
        <w:rPr>
          <w:rFonts w:ascii="Arial" w:hAnsi="Arial" w:cs="Arial"/>
          <w:b/>
          <w:bCs/>
          <w:lang w:val="en"/>
        </w:rPr>
        <w:t>Food Security</w:t>
      </w:r>
    </w:p>
    <w:p w14:paraId="6241E15C" w14:textId="77777777" w:rsidR="00387443" w:rsidRPr="00BA356E" w:rsidRDefault="00000000" w:rsidP="00A94491">
      <w:pPr>
        <w:jc w:val="both"/>
        <w:rPr>
          <w:rFonts w:ascii="Arial" w:hAnsi="Arial" w:cs="Arial"/>
          <w:lang w:val="it-IT"/>
        </w:rPr>
      </w:pPr>
      <w:r w:rsidRPr="00BA356E">
        <w:rPr>
          <w:rFonts w:ascii="Arial" w:hAnsi="Arial" w:cs="Arial"/>
          <w:lang w:val="en"/>
        </w:rPr>
        <w:lastRenderedPageBreak/>
        <w:t>Despite its fertile soil, Indonesia still imports food commodities, namely sugar cane, corn, rice, beans, soybeans, wheat, and beef. Indonesian food imports were caused by several factors, e.g., agricultural land conversion and population growth rate. Sizeable agricultural land converted into settlements also reduced the number of food products in the country. On the other hand, the demand of the agricultural sector to produce food commodities is high due to the increasing population of Indonesia.</w:t>
      </w:r>
    </w:p>
    <w:p w14:paraId="146F6CDA" w14:textId="77777777" w:rsidR="00387443" w:rsidRPr="00BA356E" w:rsidRDefault="00000000" w:rsidP="00387443">
      <w:pPr>
        <w:jc w:val="both"/>
        <w:rPr>
          <w:rFonts w:ascii="Arial" w:hAnsi="Arial" w:cs="Arial"/>
          <w:lang w:val="it-IT"/>
        </w:rPr>
      </w:pPr>
      <w:r w:rsidRPr="00BA356E">
        <w:rPr>
          <w:rFonts w:ascii="Arial" w:hAnsi="Arial" w:cs="Arial"/>
          <w:lang w:val="en"/>
        </w:rPr>
        <w:t>The Indonesian government has taken measures to anticipate food vulnerability and insecurity by formulating Food Security and Vulnerability Atlas (FSVA) under the Agriculture Ministry's Food Security Agency (BKP).</w:t>
      </w:r>
    </w:p>
    <w:p w14:paraId="11AFA64A" w14:textId="77777777" w:rsidR="00387443" w:rsidRPr="00BA356E" w:rsidRDefault="00000000" w:rsidP="00387443">
      <w:pPr>
        <w:shd w:val="clear" w:color="auto" w:fill="FFFFFF"/>
        <w:spacing w:after="100" w:afterAutospacing="1" w:line="240" w:lineRule="auto"/>
        <w:rPr>
          <w:rFonts w:ascii="Arial" w:eastAsia="Times New Roman" w:hAnsi="Arial" w:cs="Arial"/>
          <w:color w:val="111111"/>
          <w:kern w:val="0"/>
          <w:lang w:val="it-IT" w:eastAsia="en-ID"/>
          <w14:ligatures w14:val="none"/>
        </w:rPr>
      </w:pPr>
      <w:r w:rsidRPr="00BA356E">
        <w:rPr>
          <w:rFonts w:ascii="Arial" w:eastAsia="Times New Roman" w:hAnsi="Arial" w:cs="Arial"/>
          <w:b/>
          <w:bCs/>
          <w:color w:val="111111"/>
          <w:kern w:val="0"/>
          <w:lang w:val="en" w:eastAsia="en-ID"/>
          <w14:ligatures w14:val="none"/>
        </w:rPr>
        <w:t>This is a complete list of the Food Security Index of Southeast Asian countries according to the GFSI in 2022:</w:t>
      </w:r>
    </w:p>
    <w:p w14:paraId="1A8B161D" w14:textId="77777777" w:rsidR="00387443" w:rsidRPr="00BA356E" w:rsidRDefault="00000000" w:rsidP="00387443">
      <w:pPr>
        <w:numPr>
          <w:ilvl w:val="0"/>
          <w:numId w:val="2"/>
        </w:numPr>
        <w:shd w:val="clear" w:color="auto" w:fill="FFFFFF"/>
        <w:spacing w:before="100" w:beforeAutospacing="1" w:after="100" w:afterAutospacing="1" w:line="240" w:lineRule="auto"/>
        <w:rPr>
          <w:rFonts w:ascii="Arial" w:eastAsia="Times New Roman" w:hAnsi="Arial" w:cs="Arial"/>
          <w:color w:val="111111"/>
          <w:kern w:val="0"/>
          <w:lang w:eastAsia="en-ID"/>
          <w14:ligatures w14:val="none"/>
        </w:rPr>
      </w:pPr>
      <w:r w:rsidRPr="00BA356E">
        <w:rPr>
          <w:rFonts w:ascii="Arial" w:eastAsia="Times New Roman" w:hAnsi="Arial" w:cs="Arial"/>
          <w:color w:val="111111"/>
          <w:kern w:val="0"/>
          <w:lang w:val="en" w:eastAsia="en-ID"/>
          <w14:ligatures w14:val="none"/>
        </w:rPr>
        <w:t>Singapore: 73.1</w:t>
      </w:r>
    </w:p>
    <w:p w14:paraId="64DC16F9" w14:textId="77777777" w:rsidR="00387443" w:rsidRPr="00BA356E" w:rsidRDefault="00000000" w:rsidP="00387443">
      <w:pPr>
        <w:numPr>
          <w:ilvl w:val="0"/>
          <w:numId w:val="2"/>
        </w:numPr>
        <w:shd w:val="clear" w:color="auto" w:fill="FFFFFF"/>
        <w:spacing w:before="100" w:beforeAutospacing="1" w:after="100" w:afterAutospacing="1" w:line="240" w:lineRule="auto"/>
        <w:rPr>
          <w:rFonts w:ascii="Arial" w:eastAsia="Times New Roman" w:hAnsi="Arial" w:cs="Arial"/>
          <w:color w:val="111111"/>
          <w:kern w:val="0"/>
          <w:lang w:eastAsia="en-ID"/>
          <w14:ligatures w14:val="none"/>
        </w:rPr>
      </w:pPr>
      <w:r w:rsidRPr="00BA356E">
        <w:rPr>
          <w:rFonts w:ascii="Arial" w:eastAsia="Times New Roman" w:hAnsi="Arial" w:cs="Arial"/>
          <w:color w:val="111111"/>
          <w:kern w:val="0"/>
          <w:lang w:val="en" w:eastAsia="en-ID"/>
          <w14:ligatures w14:val="none"/>
        </w:rPr>
        <w:t>Malaysia: 69.9</w:t>
      </w:r>
    </w:p>
    <w:p w14:paraId="6A6A3063" w14:textId="77777777" w:rsidR="00387443" w:rsidRPr="00BA356E" w:rsidRDefault="00000000" w:rsidP="00387443">
      <w:pPr>
        <w:numPr>
          <w:ilvl w:val="0"/>
          <w:numId w:val="2"/>
        </w:numPr>
        <w:shd w:val="clear" w:color="auto" w:fill="FFFFFF"/>
        <w:spacing w:before="100" w:beforeAutospacing="1" w:after="100" w:afterAutospacing="1" w:line="240" w:lineRule="auto"/>
        <w:rPr>
          <w:rFonts w:ascii="Arial" w:eastAsia="Times New Roman" w:hAnsi="Arial" w:cs="Arial"/>
          <w:color w:val="111111"/>
          <w:kern w:val="0"/>
          <w:lang w:eastAsia="en-ID"/>
          <w14:ligatures w14:val="none"/>
        </w:rPr>
      </w:pPr>
      <w:r w:rsidRPr="00BA356E">
        <w:rPr>
          <w:rFonts w:ascii="Arial" w:eastAsia="Times New Roman" w:hAnsi="Arial" w:cs="Arial"/>
          <w:color w:val="111111"/>
          <w:kern w:val="0"/>
          <w:lang w:val="en" w:eastAsia="en-ID"/>
          <w14:ligatures w14:val="none"/>
        </w:rPr>
        <w:t>Vietnam: 67.9</w:t>
      </w:r>
    </w:p>
    <w:p w14:paraId="06CF2F51" w14:textId="77777777" w:rsidR="00387443" w:rsidRPr="00BA356E" w:rsidRDefault="00000000" w:rsidP="00387443">
      <w:pPr>
        <w:numPr>
          <w:ilvl w:val="0"/>
          <w:numId w:val="2"/>
        </w:numPr>
        <w:shd w:val="clear" w:color="auto" w:fill="FFFFFF"/>
        <w:spacing w:before="100" w:beforeAutospacing="1" w:after="100" w:afterAutospacing="1" w:line="240" w:lineRule="auto"/>
        <w:rPr>
          <w:rFonts w:ascii="Arial" w:eastAsia="Times New Roman" w:hAnsi="Arial" w:cs="Arial"/>
          <w:color w:val="111111"/>
          <w:kern w:val="0"/>
          <w:lang w:eastAsia="en-ID"/>
          <w14:ligatures w14:val="none"/>
        </w:rPr>
      </w:pPr>
      <w:r w:rsidRPr="00BA356E">
        <w:rPr>
          <w:rFonts w:ascii="Arial" w:eastAsia="Times New Roman" w:hAnsi="Arial" w:cs="Arial"/>
          <w:color w:val="111111"/>
          <w:kern w:val="0"/>
          <w:lang w:val="en" w:eastAsia="en-ID"/>
          <w14:ligatures w14:val="none"/>
        </w:rPr>
        <w:t>Indonesia: 60.2</w:t>
      </w:r>
    </w:p>
    <w:p w14:paraId="5556F8BD" w14:textId="77777777" w:rsidR="00387443" w:rsidRPr="00BA356E" w:rsidRDefault="00000000" w:rsidP="00387443">
      <w:pPr>
        <w:numPr>
          <w:ilvl w:val="0"/>
          <w:numId w:val="2"/>
        </w:numPr>
        <w:shd w:val="clear" w:color="auto" w:fill="FFFFFF"/>
        <w:spacing w:before="100" w:beforeAutospacing="1" w:after="100" w:afterAutospacing="1" w:line="240" w:lineRule="auto"/>
        <w:rPr>
          <w:rFonts w:ascii="Arial" w:eastAsia="Times New Roman" w:hAnsi="Arial" w:cs="Arial"/>
          <w:color w:val="111111"/>
          <w:kern w:val="0"/>
          <w:lang w:eastAsia="en-ID"/>
          <w14:ligatures w14:val="none"/>
        </w:rPr>
      </w:pPr>
      <w:r w:rsidRPr="00BA356E">
        <w:rPr>
          <w:rFonts w:ascii="Arial" w:eastAsia="Times New Roman" w:hAnsi="Arial" w:cs="Arial"/>
          <w:color w:val="111111"/>
          <w:kern w:val="0"/>
          <w:lang w:val="en" w:eastAsia="en-ID"/>
          <w14:ligatures w14:val="none"/>
        </w:rPr>
        <w:t>Thailand: 60.1</w:t>
      </w:r>
    </w:p>
    <w:p w14:paraId="04913AFD" w14:textId="77777777" w:rsidR="00387443" w:rsidRPr="00BA356E" w:rsidRDefault="00000000" w:rsidP="00387443">
      <w:pPr>
        <w:numPr>
          <w:ilvl w:val="0"/>
          <w:numId w:val="2"/>
        </w:numPr>
        <w:shd w:val="clear" w:color="auto" w:fill="FFFFFF"/>
        <w:spacing w:before="100" w:beforeAutospacing="1" w:after="100" w:afterAutospacing="1" w:line="240" w:lineRule="auto"/>
        <w:rPr>
          <w:rFonts w:ascii="Arial" w:eastAsia="Times New Roman" w:hAnsi="Arial" w:cs="Arial"/>
          <w:color w:val="111111"/>
          <w:kern w:val="0"/>
          <w:lang w:eastAsia="en-ID"/>
          <w14:ligatures w14:val="none"/>
        </w:rPr>
      </w:pPr>
      <w:r w:rsidRPr="00BA356E">
        <w:rPr>
          <w:rFonts w:ascii="Arial" w:eastAsia="Times New Roman" w:hAnsi="Arial" w:cs="Arial"/>
          <w:color w:val="111111"/>
          <w:kern w:val="0"/>
          <w:lang w:val="en" w:eastAsia="en-ID"/>
          <w14:ligatures w14:val="none"/>
        </w:rPr>
        <w:t>Philippines: 59.3</w:t>
      </w:r>
    </w:p>
    <w:p w14:paraId="5290A498" w14:textId="77777777" w:rsidR="00387443" w:rsidRPr="00BA356E" w:rsidRDefault="00000000" w:rsidP="00387443">
      <w:pPr>
        <w:numPr>
          <w:ilvl w:val="0"/>
          <w:numId w:val="2"/>
        </w:numPr>
        <w:shd w:val="clear" w:color="auto" w:fill="FFFFFF"/>
        <w:spacing w:before="100" w:beforeAutospacing="1" w:after="100" w:afterAutospacing="1" w:line="240" w:lineRule="auto"/>
        <w:rPr>
          <w:rFonts w:ascii="Arial" w:eastAsia="Times New Roman" w:hAnsi="Arial" w:cs="Arial"/>
          <w:color w:val="111111"/>
          <w:kern w:val="0"/>
          <w:lang w:eastAsia="en-ID"/>
          <w14:ligatures w14:val="none"/>
        </w:rPr>
      </w:pPr>
      <w:r w:rsidRPr="00BA356E">
        <w:rPr>
          <w:rFonts w:ascii="Arial" w:eastAsia="Times New Roman" w:hAnsi="Arial" w:cs="Arial"/>
          <w:color w:val="111111"/>
          <w:kern w:val="0"/>
          <w:lang w:val="en" w:eastAsia="en-ID"/>
          <w14:ligatures w14:val="none"/>
        </w:rPr>
        <w:t>Myanmar: 57.6</w:t>
      </w:r>
    </w:p>
    <w:p w14:paraId="12074D43" w14:textId="77777777" w:rsidR="00387443" w:rsidRPr="00BA356E" w:rsidRDefault="00000000" w:rsidP="002B0F2B">
      <w:pPr>
        <w:numPr>
          <w:ilvl w:val="0"/>
          <w:numId w:val="2"/>
        </w:numPr>
        <w:shd w:val="clear" w:color="auto" w:fill="FFFFFF"/>
        <w:spacing w:before="100" w:beforeAutospacing="1" w:after="100" w:afterAutospacing="1" w:line="240" w:lineRule="auto"/>
        <w:rPr>
          <w:rFonts w:ascii="Arial" w:eastAsia="Times New Roman" w:hAnsi="Arial" w:cs="Arial"/>
          <w:color w:val="111111"/>
          <w:kern w:val="0"/>
          <w:lang w:eastAsia="en-ID"/>
          <w14:ligatures w14:val="none"/>
        </w:rPr>
      </w:pPr>
      <w:r w:rsidRPr="00BA356E">
        <w:rPr>
          <w:rFonts w:ascii="Arial" w:eastAsia="Times New Roman" w:hAnsi="Arial" w:cs="Arial"/>
          <w:color w:val="111111"/>
          <w:kern w:val="0"/>
          <w:lang w:val="en" w:eastAsia="en-ID"/>
          <w14:ligatures w14:val="none"/>
        </w:rPr>
        <w:t>Cambodia: 55.7</w:t>
      </w:r>
    </w:p>
    <w:p w14:paraId="3D2BC859" w14:textId="77777777" w:rsidR="00387443" w:rsidRPr="00BA356E" w:rsidRDefault="00000000" w:rsidP="002B0F2B">
      <w:pPr>
        <w:numPr>
          <w:ilvl w:val="0"/>
          <w:numId w:val="2"/>
        </w:numPr>
        <w:shd w:val="clear" w:color="auto" w:fill="FFFFFF"/>
        <w:spacing w:before="100" w:beforeAutospacing="1" w:after="100" w:afterAutospacing="1" w:line="240" w:lineRule="auto"/>
        <w:rPr>
          <w:rFonts w:ascii="Arial" w:eastAsia="Times New Roman" w:hAnsi="Arial" w:cs="Arial"/>
          <w:color w:val="111111"/>
          <w:kern w:val="0"/>
          <w:lang w:eastAsia="en-ID"/>
          <w14:ligatures w14:val="none"/>
        </w:rPr>
      </w:pPr>
      <w:r w:rsidRPr="00BA356E">
        <w:rPr>
          <w:rFonts w:ascii="Arial" w:eastAsia="Times New Roman" w:hAnsi="Arial" w:cs="Arial"/>
          <w:color w:val="111111"/>
          <w:kern w:val="0"/>
          <w:lang w:val="en" w:eastAsia="en-ID"/>
          <w14:ligatures w14:val="none"/>
        </w:rPr>
        <w:t>Laos: 53.1</w:t>
      </w:r>
    </w:p>
    <w:p w14:paraId="53B1E356" w14:textId="77777777" w:rsidR="00387443" w:rsidRPr="00BA356E" w:rsidRDefault="00000000" w:rsidP="00E14D91">
      <w:pPr>
        <w:jc w:val="both"/>
        <w:rPr>
          <w:rFonts w:ascii="Arial" w:hAnsi="Arial" w:cs="Arial"/>
          <w:lang w:val="it-IT"/>
        </w:rPr>
      </w:pPr>
      <w:r w:rsidRPr="00BA356E">
        <w:rPr>
          <w:rFonts w:ascii="Arial" w:hAnsi="Arial" w:cs="Arial"/>
          <w:lang w:val="en"/>
        </w:rPr>
        <w:t xml:space="preserve">Sources: </w:t>
      </w:r>
    </w:p>
    <w:p w14:paraId="6A6B2E62" w14:textId="77777777" w:rsidR="00387443" w:rsidRPr="00BA356E" w:rsidRDefault="00000000" w:rsidP="00387443">
      <w:pPr>
        <w:pStyle w:val="ListParagraph"/>
        <w:numPr>
          <w:ilvl w:val="0"/>
          <w:numId w:val="1"/>
        </w:numPr>
        <w:jc w:val="both"/>
        <w:rPr>
          <w:rFonts w:ascii="Arial" w:hAnsi="Arial" w:cs="Arial"/>
          <w:lang w:val="it-IT"/>
        </w:rPr>
      </w:pPr>
      <w:r w:rsidRPr="00BA356E">
        <w:rPr>
          <w:rFonts w:ascii="Arial" w:hAnsi="Arial" w:cs="Arial"/>
          <w:lang w:val="en"/>
        </w:rPr>
        <w:t>databoks.katadata.co.id</w:t>
      </w:r>
    </w:p>
    <w:p w14:paraId="2CDF6522" w14:textId="77777777" w:rsidR="00387443" w:rsidRPr="00BA356E" w:rsidRDefault="00000000" w:rsidP="00387443">
      <w:pPr>
        <w:pStyle w:val="ListParagraph"/>
        <w:numPr>
          <w:ilvl w:val="0"/>
          <w:numId w:val="1"/>
        </w:numPr>
        <w:jc w:val="both"/>
        <w:rPr>
          <w:rFonts w:ascii="Arial" w:hAnsi="Arial" w:cs="Arial"/>
          <w:lang w:val="it-IT"/>
        </w:rPr>
      </w:pPr>
      <w:r w:rsidRPr="00BA356E">
        <w:rPr>
          <w:rFonts w:ascii="Arial" w:hAnsi="Arial" w:cs="Arial"/>
          <w:lang w:val="en"/>
        </w:rPr>
        <w:t>impact.economist.com</w:t>
      </w:r>
    </w:p>
    <w:p w14:paraId="113782AD" w14:textId="77777777" w:rsidR="00897E74" w:rsidRPr="00BA356E" w:rsidRDefault="00000000" w:rsidP="00A94491">
      <w:pPr>
        <w:pStyle w:val="ListParagraph"/>
        <w:numPr>
          <w:ilvl w:val="0"/>
          <w:numId w:val="1"/>
        </w:numPr>
        <w:jc w:val="both"/>
        <w:rPr>
          <w:rFonts w:ascii="Arial" w:hAnsi="Arial" w:cs="Arial"/>
          <w:lang w:val="it-IT"/>
        </w:rPr>
      </w:pPr>
      <w:r w:rsidRPr="00BA356E">
        <w:rPr>
          <w:rFonts w:ascii="Arial" w:hAnsi="Arial" w:cs="Arial"/>
          <w:lang w:val="en"/>
        </w:rPr>
        <w:t>dataindonesia.id</w:t>
      </w:r>
    </w:p>
    <w:sectPr w:rsidR="00897E74" w:rsidRPr="00BA3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06E43"/>
    <w:multiLevelType w:val="hybridMultilevel"/>
    <w:tmpl w:val="151E8E14"/>
    <w:lvl w:ilvl="0" w:tplc="21BED832">
      <w:numFmt w:val="bullet"/>
      <w:lvlText w:val="-"/>
      <w:lvlJc w:val="left"/>
      <w:pPr>
        <w:ind w:left="720" w:hanging="360"/>
      </w:pPr>
      <w:rPr>
        <w:rFonts w:ascii="Calibri" w:eastAsiaTheme="minorHAnsi" w:hAnsi="Calibri" w:cs="Calibri" w:hint="default"/>
      </w:rPr>
    </w:lvl>
    <w:lvl w:ilvl="1" w:tplc="826845FA" w:tentative="1">
      <w:start w:val="1"/>
      <w:numFmt w:val="bullet"/>
      <w:lvlText w:val="o"/>
      <w:lvlJc w:val="left"/>
      <w:pPr>
        <w:ind w:left="1440" w:hanging="360"/>
      </w:pPr>
      <w:rPr>
        <w:rFonts w:ascii="Courier New" w:hAnsi="Courier New" w:cs="Courier New" w:hint="default"/>
      </w:rPr>
    </w:lvl>
    <w:lvl w:ilvl="2" w:tplc="E2243A16" w:tentative="1">
      <w:start w:val="1"/>
      <w:numFmt w:val="bullet"/>
      <w:lvlText w:val=""/>
      <w:lvlJc w:val="left"/>
      <w:pPr>
        <w:ind w:left="2160" w:hanging="360"/>
      </w:pPr>
      <w:rPr>
        <w:rFonts w:ascii="Wingdings" w:hAnsi="Wingdings" w:hint="default"/>
      </w:rPr>
    </w:lvl>
    <w:lvl w:ilvl="3" w:tplc="BD0A9CD8" w:tentative="1">
      <w:start w:val="1"/>
      <w:numFmt w:val="bullet"/>
      <w:lvlText w:val=""/>
      <w:lvlJc w:val="left"/>
      <w:pPr>
        <w:ind w:left="2880" w:hanging="360"/>
      </w:pPr>
      <w:rPr>
        <w:rFonts w:ascii="Symbol" w:hAnsi="Symbol" w:hint="default"/>
      </w:rPr>
    </w:lvl>
    <w:lvl w:ilvl="4" w:tplc="B57E348A" w:tentative="1">
      <w:start w:val="1"/>
      <w:numFmt w:val="bullet"/>
      <w:lvlText w:val="o"/>
      <w:lvlJc w:val="left"/>
      <w:pPr>
        <w:ind w:left="3600" w:hanging="360"/>
      </w:pPr>
      <w:rPr>
        <w:rFonts w:ascii="Courier New" w:hAnsi="Courier New" w:cs="Courier New" w:hint="default"/>
      </w:rPr>
    </w:lvl>
    <w:lvl w:ilvl="5" w:tplc="DF9E61EA" w:tentative="1">
      <w:start w:val="1"/>
      <w:numFmt w:val="bullet"/>
      <w:lvlText w:val=""/>
      <w:lvlJc w:val="left"/>
      <w:pPr>
        <w:ind w:left="4320" w:hanging="360"/>
      </w:pPr>
      <w:rPr>
        <w:rFonts w:ascii="Wingdings" w:hAnsi="Wingdings" w:hint="default"/>
      </w:rPr>
    </w:lvl>
    <w:lvl w:ilvl="6" w:tplc="B8786A80" w:tentative="1">
      <w:start w:val="1"/>
      <w:numFmt w:val="bullet"/>
      <w:lvlText w:val=""/>
      <w:lvlJc w:val="left"/>
      <w:pPr>
        <w:ind w:left="5040" w:hanging="360"/>
      </w:pPr>
      <w:rPr>
        <w:rFonts w:ascii="Symbol" w:hAnsi="Symbol" w:hint="default"/>
      </w:rPr>
    </w:lvl>
    <w:lvl w:ilvl="7" w:tplc="4B72BD3E" w:tentative="1">
      <w:start w:val="1"/>
      <w:numFmt w:val="bullet"/>
      <w:lvlText w:val="o"/>
      <w:lvlJc w:val="left"/>
      <w:pPr>
        <w:ind w:left="5760" w:hanging="360"/>
      </w:pPr>
      <w:rPr>
        <w:rFonts w:ascii="Courier New" w:hAnsi="Courier New" w:cs="Courier New" w:hint="default"/>
      </w:rPr>
    </w:lvl>
    <w:lvl w:ilvl="8" w:tplc="A2620380" w:tentative="1">
      <w:start w:val="1"/>
      <w:numFmt w:val="bullet"/>
      <w:lvlText w:val=""/>
      <w:lvlJc w:val="left"/>
      <w:pPr>
        <w:ind w:left="6480" w:hanging="360"/>
      </w:pPr>
      <w:rPr>
        <w:rFonts w:ascii="Wingdings" w:hAnsi="Wingdings" w:hint="default"/>
      </w:rPr>
    </w:lvl>
  </w:abstractNum>
  <w:abstractNum w:abstractNumId="1" w15:restartNumberingAfterBreak="0">
    <w:nsid w:val="5E5C443D"/>
    <w:multiLevelType w:val="multilevel"/>
    <w:tmpl w:val="44C0F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1801239">
    <w:abstractNumId w:val="0"/>
  </w:num>
  <w:num w:numId="2" w16cid:durableId="739597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74"/>
    <w:rsid w:val="000748C0"/>
    <w:rsid w:val="000A188F"/>
    <w:rsid w:val="001448C0"/>
    <w:rsid w:val="001A45A1"/>
    <w:rsid w:val="002B0F2B"/>
    <w:rsid w:val="00315F56"/>
    <w:rsid w:val="00387443"/>
    <w:rsid w:val="00442A01"/>
    <w:rsid w:val="004A07E0"/>
    <w:rsid w:val="004F4024"/>
    <w:rsid w:val="00637A55"/>
    <w:rsid w:val="006D0919"/>
    <w:rsid w:val="00846694"/>
    <w:rsid w:val="00897E74"/>
    <w:rsid w:val="00911F0E"/>
    <w:rsid w:val="009B137E"/>
    <w:rsid w:val="009C1C4E"/>
    <w:rsid w:val="00A00E82"/>
    <w:rsid w:val="00A50687"/>
    <w:rsid w:val="00A94491"/>
    <w:rsid w:val="00B300D1"/>
    <w:rsid w:val="00BA356E"/>
    <w:rsid w:val="00BC3191"/>
    <w:rsid w:val="00BE78BC"/>
    <w:rsid w:val="00D962A9"/>
    <w:rsid w:val="00E14D91"/>
    <w:rsid w:val="00E361CA"/>
    <w:rsid w:val="00EF7D4B"/>
    <w:rsid w:val="00F82CEF"/>
    <w:rsid w:val="00F9473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228E"/>
  <w15:chartTrackingRefBased/>
  <w15:docId w15:val="{E70B1FDB-5364-4BC1-B619-420D5578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7E74"/>
    <w:rPr>
      <w:color w:val="0000FF"/>
      <w:u w:val="single"/>
    </w:rPr>
  </w:style>
  <w:style w:type="paragraph" w:styleId="NormalWeb">
    <w:name w:val="Normal (Web)"/>
    <w:basedOn w:val="Normal"/>
    <w:uiPriority w:val="99"/>
    <w:unhideWhenUsed/>
    <w:rsid w:val="00897E74"/>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Emphasis">
    <w:name w:val="Emphasis"/>
    <w:basedOn w:val="DefaultParagraphFont"/>
    <w:uiPriority w:val="20"/>
    <w:qFormat/>
    <w:rsid w:val="00897E74"/>
    <w:rPr>
      <w:i/>
      <w:iCs/>
    </w:rPr>
  </w:style>
  <w:style w:type="paragraph" w:styleId="ListParagraph">
    <w:name w:val="List Paragraph"/>
    <w:basedOn w:val="Normal"/>
    <w:uiPriority w:val="34"/>
    <w:qFormat/>
    <w:rsid w:val="00911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1344</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 Wardhana</dc:creator>
  <cp:lastModifiedBy>Filmon Warouw</cp:lastModifiedBy>
  <cp:revision>7</cp:revision>
  <dcterms:created xsi:type="dcterms:W3CDTF">2023-05-15T10:02:00Z</dcterms:created>
  <dcterms:modified xsi:type="dcterms:W3CDTF">2023-05-22T03:02:00Z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e225ea0c-ba2a-443f-b486-71346512392d</vt:lpwstr>
  </property>
</Properties>
</file>